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14" w:name="deine-entscheidungsmatrix"/>
    <w:p>
      <w:pPr>
        <w:pStyle w:val="Heading1"/>
      </w:pPr>
      <w:r>
        <w:t xml:space="preserve">Deine Entscheidungsmatrix</w:t>
      </w:r>
    </w:p>
    <w:p>
      <w:pPr>
        <w:pStyle w:val="FirstParagraph"/>
      </w:pPr>
      <w:r>
        <w:rPr>
          <w:b w:val="0"/>
          <w:bCs/>
          <w:i/>
          <w:color w:val="6E6E6E"/>
        </w:rPr>
        <w:t xml:space="preserve">Arbeitsfassung zu Kapitel 4 - wer erledigt welche Aufgabe</w:t>
      </w:r>
    </w:p>
    <w:p>
      <w:pPr>
        <w:pStyle w:val="BodyText"/>
      </w:pPr>
      <w:r>
        <w:t xml:space="preserve">Nimm deine Bestandsaufnahme aus Anhang B und trage für jede Aufgabe die Ziel-Besetzung ein. Dazu eine Reihenfolge - was zuerst, was später.</w:t>
      </w:r>
    </w:p>
    <w:p>
      <w:pPr>
        <w:pStyle w:val="BodyText"/>
      </w:pPr>
      <w:r>
        <w:rPr>
          <w:b/>
          <w:bCs/>
        </w:rPr>
        <w:t xml:space="preserve">Die vier Besetzungen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rHeight w:val="454" w:hRule="atLeast"/>
          <w:tblHeader w:val="on"/>
        </w:trPr>
        <w:tc>
          <w:tcPr/>
          <w:p>
            <w:pPr>
              <w:pStyle w:val="Compact"/>
              <w:spacing w:after="40"/>
            </w:pPr>
          </w:p>
        </w:tc>
        <w:tc>
          <w:tcPr/>
          <w:p>
            <w:pPr>
              <w:pStyle w:val="Compact"/>
              <w:spacing w:after="40"/>
            </w:pPr>
            <w:r>
              <w:rPr>
                <w:sz w:val="19"/>
              </w:rPr>
              <w:t xml:space="preserve">Besetzung</w:t>
            </w:r>
          </w:p>
        </w:tc>
        <w:tc>
          <w:tcPr/>
          <w:p>
            <w:pPr>
              <w:pStyle w:val="Compact"/>
              <w:spacing w:after="40"/>
            </w:pPr>
            <w:r>
              <w:rPr>
                <w:sz w:val="19"/>
              </w:rPr>
              <w:t xml:space="preserve">sinnvoll für</w:t>
            </w:r>
          </w:p>
        </w:tc>
      </w:tr>
      <w:tr>
        <w:tc>
          <w:tcPr/>
          <w:p>
            <w:pPr>
              <w:pStyle w:val="Compact"/>
              <w:spacing w:after="40"/>
            </w:pPr>
            <w:r>
              <w:rPr>
                <w:sz w:val="19"/>
              </w:rPr>
              <w:t xml:space="preserve">S</w:t>
            </w:r>
          </w:p>
        </w:tc>
        <w:tc>
          <w:tcPr/>
          <w:p>
            <w:pPr>
              <w:pStyle w:val="Compact"/>
              <w:spacing w:after="40"/>
            </w:pPr>
            <w:r>
              <w:rPr>
                <w:sz w:val="19"/>
              </w:rPr>
              <w:t xml:space="preserve">Du selbst</w:t>
            </w:r>
          </w:p>
        </w:tc>
        <w:tc>
          <w:tcPr/>
          <w:p>
            <w:pPr>
              <w:pStyle w:val="Compact"/>
              <w:spacing w:after="40"/>
            </w:pPr>
            <w:r>
              <w:rPr>
                <w:sz w:val="19"/>
              </w:rPr>
              <w:t xml:space="preserve">wo dein Urteil gebraucht wird - und nur dort</w:t>
            </w:r>
          </w:p>
        </w:tc>
      </w:tr>
      <w:tr>
        <w:tc>
          <w:tcPr/>
          <w:p>
            <w:pPr>
              <w:pStyle w:val="Compact"/>
              <w:spacing w:after="40"/>
            </w:pPr>
            <w:r>
              <w:rPr>
                <w:sz w:val="19"/>
              </w:rPr>
              <w:t xml:space="preserve">T</w:t>
            </w:r>
          </w:p>
        </w:tc>
        <w:tc>
          <w:tcPr/>
          <w:p>
            <w:pPr>
              <w:pStyle w:val="Compact"/>
              <w:spacing w:after="40"/>
            </w:pPr>
            <w:r>
              <w:rPr>
                <w:sz w:val="19"/>
              </w:rPr>
              <w:t xml:space="preserve">Dein Team</w:t>
            </w:r>
          </w:p>
        </w:tc>
        <w:tc>
          <w:tcPr/>
          <w:p>
            <w:pPr>
              <w:pStyle w:val="Compact"/>
              <w:spacing w:after="40"/>
            </w:pPr>
            <w:r>
              <w:rPr>
                <w:sz w:val="19"/>
              </w:rPr>
              <w:t xml:space="preserve">regelbare Aufgaben mit klarer Anleitung; Voraussetzung: Der Prozess ist dokumentiert, nicht im Kopf</w:t>
            </w:r>
          </w:p>
        </w:tc>
      </w:tr>
      <w:tr>
        <w:tc>
          <w:tcPr/>
          <w:p>
            <w:pPr>
              <w:pStyle w:val="Compact"/>
              <w:spacing w:after="40"/>
            </w:pPr>
            <w:r>
              <w:rPr>
                <w:sz w:val="19"/>
              </w:rPr>
              <w:t xml:space="preserve">Sy</w:t>
            </w:r>
          </w:p>
        </w:tc>
        <w:tc>
          <w:tcPr/>
          <w:p>
            <w:pPr>
              <w:pStyle w:val="Compact"/>
              <w:spacing w:after="40"/>
            </w:pPr>
            <w:r>
              <w:rPr>
                <w:sz w:val="19"/>
              </w:rPr>
              <w:t xml:space="preserve">Dein System</w:t>
            </w:r>
          </w:p>
        </w:tc>
        <w:tc>
          <w:tcPr/>
          <w:p>
            <w:pPr>
              <w:pStyle w:val="Compact"/>
              <w:spacing w:after="40"/>
            </w:pPr>
            <w:r>
              <w:rPr>
                <w:sz w:val="19"/>
              </w:rPr>
              <w:t xml:space="preserve">die Automatisierung, heute auch mit KI-Werkzeugen - alles, was sich wiederholt</w:t>
            </w:r>
          </w:p>
        </w:tc>
      </w:tr>
      <w:tr>
        <w:tc>
          <w:tcPr/>
          <w:p>
            <w:pPr>
              <w:pStyle w:val="Compact"/>
              <w:spacing w:after="40"/>
            </w:pPr>
            <w:r>
              <w:rPr>
                <w:sz w:val="19"/>
              </w:rPr>
              <w:t xml:space="preserve">E</w:t>
            </w:r>
          </w:p>
        </w:tc>
        <w:tc>
          <w:tcPr/>
          <w:p>
            <w:pPr>
              <w:pStyle w:val="Compact"/>
              <w:spacing w:after="40"/>
            </w:pPr>
            <w:r>
              <w:rPr>
                <w:sz w:val="19"/>
              </w:rPr>
              <w:t xml:space="preserve">Extern, gezielt</w:t>
            </w:r>
          </w:p>
        </w:tc>
        <w:tc>
          <w:tcPr/>
          <w:p>
            <w:pPr>
              <w:pStyle w:val="Compact"/>
              <w:spacing w:after="40"/>
            </w:pPr>
            <w:r>
              <w:rPr>
                <w:sz w:val="19"/>
              </w:rPr>
              <w:t xml:space="preserve">wo Spezialwissen, Haftung oder gesetzliche Befugnis den Preis rechtfertigen - als klar umrissene Einzelleistung, nicht als Pauschalpaket</w:t>
            </w:r>
          </w:p>
        </w:tc>
      </w:tr>
    </w:tbl>
    <w:p>
      <w:r>
        <w:pict>
          <v:rect style="width:0;height:1.5pt" o:hralign="center" o:hrstd="t" o:hr="t"/>
        </w:pict>
      </w:r>
    </w:p>
    <w:bookmarkStart w:id="9" w:name="die-matrix"/>
    <w:p>
      <w:pPr>
        <w:pStyle w:val="Heading2"/>
      </w:pPr>
      <w:r>
        <w:t xml:space="preserve">Die Matrix</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584"/>
        <w:gridCol w:w="1584"/>
        <w:gridCol w:w="1584"/>
        <w:gridCol w:w="1584"/>
        <w:gridCol w:w="1584"/>
      </w:tblGrid>
      <w:tr>
        <w:trPr>
          <w:tblHeader w:val="on"/>
        </w:trPr>
        <w:tc>
          <w:tcPr/>
          <w:p>
            <w:pPr>
              <w:pStyle w:val="Compact"/>
              <w:spacing w:after="40"/>
            </w:pPr>
            <w:r>
              <w:rPr>
                <w:sz w:val="19"/>
              </w:rPr>
              <w:t xml:space="preserve">Aufgabe</w:t>
            </w:r>
          </w:p>
        </w:tc>
        <w:tc>
          <w:tcPr/>
          <w:p>
            <w:pPr>
              <w:pStyle w:val="Compact"/>
              <w:spacing w:after="40"/>
            </w:pPr>
            <w:r>
              <w:rPr>
                <w:sz w:val="19"/>
              </w:rPr>
              <w:t xml:space="preserve">heute erledigt von</w:t>
            </w:r>
          </w:p>
        </w:tc>
        <w:tc>
          <w:tcPr/>
          <w:p>
            <w:pPr>
              <w:pStyle w:val="Compact"/>
              <w:spacing w:after="40"/>
            </w:pPr>
            <w:r>
              <w:rPr>
                <w:sz w:val="19"/>
              </w:rPr>
              <w:t xml:space="preserve">Ziel-Besetzung (S / T / Sy / E)</w:t>
            </w:r>
          </w:p>
        </w:tc>
        <w:tc>
          <w:tcPr/>
          <w:p>
            <w:pPr>
              <w:pStyle w:val="Compact"/>
              <w:spacing w:after="40"/>
            </w:pPr>
            <w:r>
              <w:rPr>
                <w:sz w:val="19"/>
              </w:rPr>
              <w:t xml:space="preserve">Reihenfolge</w:t>
            </w:r>
          </w:p>
        </w:tc>
        <w:tc>
          <w:tcPr/>
          <w:p>
            <w:pPr>
              <w:pStyle w:val="Compact"/>
              <w:spacing w:after="40"/>
            </w:pPr>
            <w:r>
              <w:rPr>
                <w:sz w:val="19"/>
              </w:rPr>
              <w:t xml:space="preserve">Begründung, Voraussetzung</w:t>
            </w:r>
          </w:p>
        </w:tc>
      </w:tr>
      <w:tr>
        <w:trPr>
          <w:trHeight w:val="454" w:hRule="atLeast"/>
        </w:trPr>
        <w:tc>
          <w:tcPr/>
          <w:p>
            <w:pPr>
              <w:pStyle w:val="Compact"/>
              <w:spacing w:after="40"/>
            </w:pPr>
            <w:r>
              <w:rPr>
                <w:sz w:val="19"/>
              </w:rPr>
              <w:t xml:space="preserve">Belege erfassen und zuordnen</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Kontieren</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Umsatzsteuervoranmeldung</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Zahlungsverkehr, offene Posten, Mahnwesen</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Reporting (BWA)</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Lohnabrechnung</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Jahresabschluss und Steuererklärungen</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Kommunikation mit dem Finanzamt</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aus deiner Bestandsaufnahme: ____________</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aus deiner Bestandsaufnahme: ____________</w:t>
            </w:r>
          </w:p>
        </w:tc>
        <w:tc>
          <w:tcPr/>
          <w:p>
            <w:pPr>
              <w:pStyle w:val="Compact"/>
              <w:spacing w:after="40"/>
            </w:pPr>
          </w:p>
        </w:tc>
        <w:tc>
          <w:tcPr/>
          <w:p>
            <w:pPr>
              <w:pStyle w:val="Compact"/>
              <w:spacing w:after="40"/>
            </w:pPr>
          </w:p>
        </w:tc>
        <w:tc>
          <w:tcPr/>
          <w:p>
            <w:pPr>
              <w:pStyle w:val="Compact"/>
              <w:spacing w:after="40"/>
            </w:pPr>
          </w:p>
        </w:tc>
        <w:tc>
          <w:tcPr/>
          <w:p>
            <w:pPr>
              <w:pStyle w:val="Compact"/>
              <w:spacing w:after="40"/>
            </w:pPr>
          </w:p>
        </w:tc>
      </w:tr>
    </w:tbl>
    <w:p>
      <w:pPr>
        <w:pStyle w:val="BodyText"/>
      </w:pPr>
      <w:r>
        <w:t xml:space="preserve">Eine Aufgabe kann mehrere Besetzungen haben, etwa "System, mit Team-Kontrolle". Schreib beide hin.</w:t>
      </w:r>
    </w:p>
    <w:p>
      <w:r>
        <w:pict>
          <v:rect style="width:0;height:1.5pt" o:hralign="center" o:hrstd="t" o:hr="t"/>
        </w:pict>
      </w:r>
    </w:p>
    <w:bookmarkEnd w:id="9"/>
    <w:bookmarkStart w:id="10" w:name="die-reihenfolge-im-buch"/>
    <w:p>
      <w:pPr>
        <w:pStyle w:val="Heading2"/>
      </w:pPr>
      <w:r>
        <w:t xml:space="preserve">Die Reihenfolge im Buch</w:t>
      </w:r>
    </w:p>
    <w:p>
      <w:pPr>
        <w:pStyle w:val="FirstParagraph"/>
      </w:pPr>
      <w:r>
        <w:t xml:space="preserve">Die Standardempfehlung des Autors für den Einstieg, zum Abgleich mit deiner eigenen Reihenfolge:</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980"/>
        <w:gridCol w:w="1980"/>
        <w:gridCol w:w="1980"/>
        <w:gridCol w:w="1980"/>
      </w:tblGrid>
      <w:tr>
        <w:trPr>
          <w:tblHeader w:val="on"/>
        </w:trPr>
        <w:tc>
          <w:tcPr/>
          <w:p>
            <w:pPr>
              <w:pStyle w:val="Compact"/>
              <w:spacing w:after="40"/>
            </w:pPr>
            <w:r>
              <w:rPr>
                <w:sz w:val="19"/>
              </w:rPr>
              <w:t xml:space="preserve">Schritt</w:t>
            </w:r>
          </w:p>
        </w:tc>
        <w:tc>
          <w:tcPr/>
          <w:p>
            <w:pPr>
              <w:pStyle w:val="Compact"/>
              <w:spacing w:after="40"/>
            </w:pPr>
            <w:r>
              <w:rPr>
                <w:sz w:val="19"/>
              </w:rPr>
              <w:t xml:space="preserve">Nutzen</w:t>
            </w:r>
          </w:p>
        </w:tc>
        <w:tc>
          <w:tcPr/>
          <w:p>
            <w:pPr>
              <w:pStyle w:val="Compact"/>
              <w:spacing w:after="40"/>
            </w:pPr>
            <w:r>
              <w:rPr>
                <w:sz w:val="19"/>
              </w:rPr>
              <w:t xml:space="preserve">Risiko</w:t>
            </w:r>
          </w:p>
        </w:tc>
        <w:tc>
          <w:tcPr/>
          <w:p>
            <w:pPr>
              <w:pStyle w:val="Compact"/>
              <w:spacing w:after="40"/>
            </w:pPr>
            <w:r>
              <w:rPr>
                <w:sz w:val="19"/>
              </w:rPr>
              <w:t xml:space="preserve">Voraussetzung</w:t>
            </w:r>
          </w:p>
        </w:tc>
      </w:tr>
      <w:tr>
        <w:tc>
          <w:tcPr/>
          <w:p>
            <w:pPr>
              <w:pStyle w:val="Compact"/>
              <w:spacing w:after="40"/>
            </w:pPr>
            <w:r>
              <w:rPr>
                <w:sz w:val="19"/>
              </w:rPr>
              <w:t xml:space="preserve">1. Belegablage und -erfassung</w:t>
            </w:r>
          </w:p>
        </w:tc>
        <w:tc>
          <w:tcPr/>
          <w:p>
            <w:pPr>
              <w:pStyle w:val="Compact"/>
              <w:spacing w:after="40"/>
            </w:pPr>
            <w:r>
              <w:rPr>
                <w:sz w:val="19"/>
              </w:rPr>
              <w:t xml:space="preserve">sofort: jeder Beleg an einem Ort, zugeordnet und auffindbar - auch für die Kanzlei</w:t>
            </w:r>
          </w:p>
        </w:tc>
        <w:tc>
          <w:tcPr/>
          <w:p>
            <w:pPr>
              <w:pStyle w:val="Compact"/>
              <w:spacing w:after="40"/>
            </w:pPr>
            <w:r>
              <w:rPr>
                <w:sz w:val="19"/>
              </w:rPr>
              <w:t xml:space="preserve">keines für das laufende Mandat: Die Kanzlei arbeitet weiter wie bisher</w:t>
            </w:r>
          </w:p>
        </w:tc>
        <w:tc>
          <w:tcPr/>
          <w:p>
            <w:pPr>
              <w:pStyle w:val="Compact"/>
              <w:spacing w:after="40"/>
            </w:pPr>
            <w:r>
              <w:rPr>
                <w:sz w:val="19"/>
              </w:rPr>
              <w:t xml:space="preserve">Bestandsaufnahme, digitale Ablage, alle Belegquellen angebunden</w:t>
            </w:r>
          </w:p>
        </w:tc>
      </w:tr>
      <w:tr>
        <w:tc>
          <w:tcPr/>
          <w:p>
            <w:pPr>
              <w:pStyle w:val="Compact"/>
              <w:spacing w:after="40"/>
            </w:pPr>
            <w:r>
              <w:rPr>
                <w:sz w:val="19"/>
              </w:rPr>
              <w:t xml:space="preserve">2. Kontierung und Reporting</w:t>
            </w:r>
          </w:p>
        </w:tc>
        <w:tc>
          <w:tcPr/>
          <w:p>
            <w:pPr>
              <w:pStyle w:val="Compact"/>
              <w:spacing w:after="40"/>
            </w:pPr>
            <w:r>
              <w:rPr>
                <w:sz w:val="19"/>
              </w:rPr>
              <w:t xml:space="preserve">eigene Zahlen, tagesaktuell; Wiederholungsfälle laufen als Regel</w:t>
            </w:r>
          </w:p>
        </w:tc>
        <w:tc>
          <w:tcPr/>
          <w:p>
            <w:pPr>
              <w:pStyle w:val="Compact"/>
              <w:spacing w:after="40"/>
            </w:pPr>
            <w:r>
              <w:rPr>
                <w:sz w:val="19"/>
              </w:rPr>
              <w:t xml:space="preserve">Fehlzuordnungen - sichtbar über die Abgleiche</w:t>
            </w:r>
          </w:p>
        </w:tc>
        <w:tc>
          <w:tcPr/>
          <w:p>
            <w:pPr>
              <w:pStyle w:val="Compact"/>
              <w:spacing w:after="40"/>
            </w:pPr>
            <w:r>
              <w:rPr>
                <w:sz w:val="19"/>
              </w:rPr>
              <w:t xml:space="preserve">Schritt 1 läuft; Regeln für die Wiederholungsfälle; punktueller Rat für echte Zweifel</w:t>
            </w:r>
          </w:p>
        </w:tc>
      </w:tr>
      <w:tr>
        <w:tc>
          <w:tcPr/>
          <w:p>
            <w:pPr>
              <w:pStyle w:val="Compact"/>
              <w:spacing w:after="40"/>
            </w:pPr>
            <w:r>
              <w:rPr>
                <w:sz w:val="19"/>
              </w:rPr>
              <w:t xml:space="preserve">3. Umsatzsteuervoranmeldungen</w:t>
            </w:r>
          </w:p>
        </w:tc>
        <w:tc>
          <w:tcPr/>
          <w:p>
            <w:pPr>
              <w:pStyle w:val="Compact"/>
              <w:spacing w:after="40"/>
            </w:pPr>
            <w:r>
              <w:rPr>
                <w:sz w:val="19"/>
              </w:rPr>
              <w:t xml:space="preserve">der Beweis, dass dein System trägt</w:t>
            </w:r>
          </w:p>
        </w:tc>
        <w:tc>
          <w:tcPr/>
          <w:p>
            <w:pPr>
              <w:pStyle w:val="Compact"/>
              <w:spacing w:after="40"/>
            </w:pPr>
            <w:r>
              <w:rPr>
                <w:sz w:val="19"/>
              </w:rPr>
              <w:t xml:space="preserve">Fristen und Zahlen - deshalb deine Freigabe vor jedem Versand</w:t>
            </w:r>
          </w:p>
        </w:tc>
        <w:tc>
          <w:tcPr/>
          <w:p>
            <w:pPr>
              <w:pStyle w:val="Compact"/>
              <w:spacing w:after="40"/>
            </w:pPr>
            <w:r>
              <w:rPr>
                <w:sz w:val="19"/>
              </w:rPr>
              <w:t xml:space="preserve">Schritt 2 läuft; eigener ELSTER-Zugang, Fristenkalender</w:t>
            </w:r>
          </w:p>
        </w:tc>
      </w:tr>
      <w:tr>
        <w:tc>
          <w:tcPr/>
          <w:p>
            <w:pPr>
              <w:pStyle w:val="Compact"/>
              <w:spacing w:after="40"/>
            </w:pPr>
            <w:r>
              <w:rPr>
                <w:sz w:val="19"/>
              </w:rPr>
              <w:t xml:space="preserve">4. Reduziertes Mandat</w:t>
            </w:r>
          </w:p>
        </w:tc>
        <w:tc>
          <w:tcPr/>
          <w:p>
            <w:pPr>
              <w:pStyle w:val="Compact"/>
              <w:spacing w:after="40"/>
            </w:pPr>
            <w:r>
              <w:rPr>
                <w:sz w:val="19"/>
              </w:rPr>
              <w:t xml:space="preserve">die Kanzlei nur noch für Abschluss und Erklärungen; die verlängerte Erklärungsfrist bleibt, solange die Kanzlei die Erklärungen anfertigt (§ 149 Abs. 3 AO), vorbehaltlich einer Vorabanforderung</w:t>
            </w:r>
          </w:p>
        </w:tc>
        <w:tc>
          <w:tcPr/>
          <w:p>
            <w:pPr>
              <w:pStyle w:val="Compact"/>
              <w:spacing w:after="40"/>
            </w:pPr>
            <w:r>
              <w:rPr>
                <w:sz w:val="19"/>
              </w:rPr>
              <w:t xml:space="preserve">die Lücke zwischen alt und neu</w:t>
            </w:r>
          </w:p>
        </w:tc>
        <w:tc>
          <w:tcPr/>
          <w:p>
            <w:pPr>
              <w:pStyle w:val="Compact"/>
              <w:spacing w:after="40"/>
            </w:pPr>
            <w:r>
              <w:rPr>
                <w:sz w:val="19"/>
              </w:rPr>
              <w:t xml:space="preserve">zwei Monatsabschlüsse parallel sauber gelaufen, vollständiger Datenexport gesichert</w:t>
            </w:r>
          </w:p>
        </w:tc>
      </w:tr>
      <w:tr>
        <w:tc>
          <w:tcPr/>
          <w:p>
            <w:pPr>
              <w:pStyle w:val="Compact"/>
              <w:spacing w:after="40"/>
            </w:pPr>
            <w:r>
              <w:rPr>
                <w:sz w:val="19"/>
              </w:rPr>
              <w:t xml:space="preserve">5. Lohn</w:t>
            </w:r>
          </w:p>
        </w:tc>
        <w:tc>
          <w:tcPr/>
          <w:p>
            <w:pPr>
              <w:pStyle w:val="Compact"/>
              <w:spacing w:after="40"/>
            </w:pPr>
            <w:r>
              <w:rPr>
                <w:sz w:val="19"/>
              </w:rPr>
              <w:t xml:space="preserve">eine weitere Aufgabe im eigenen Haus</w:t>
            </w:r>
          </w:p>
        </w:tc>
        <w:tc>
          <w:tcPr/>
          <w:p>
            <w:pPr>
              <w:pStyle w:val="Compact"/>
              <w:spacing w:after="40"/>
            </w:pPr>
            <w:r>
              <w:rPr>
                <w:sz w:val="19"/>
              </w:rPr>
              <w:t xml:space="preserve">am höchsten: dicht reguliert, Fehler werden schnell teuer</w:t>
            </w:r>
          </w:p>
        </w:tc>
        <w:tc>
          <w:tcPr/>
          <w:p>
            <w:pPr>
              <w:pStyle w:val="Compact"/>
              <w:spacing w:after="40"/>
            </w:pPr>
            <w:r>
              <w:rPr>
                <w:sz w:val="19"/>
              </w:rPr>
              <w:t xml:space="preserve">Schritte 1 bis 4 laufen stabil; wenige, stabile Arbeitsverhältnisse - sonst extern lassen</w:t>
            </w:r>
          </w:p>
        </w:tc>
      </w:tr>
    </w:tbl>
    <w:p>
      <w:r>
        <w:pict>
          <v:rect style="width:0;height:1.5pt" o:hralign="center" o:hrstd="t" o:hr="t"/>
        </w:pict>
      </w:r>
    </w:p>
    <w:bookmarkEnd w:id="10"/>
    <w:bookmarkStart w:id="11" w:name="deine-drei-meilensteine"/>
    <w:p>
      <w:pPr>
        <w:pStyle w:val="Heading2"/>
      </w:pPr>
      <w:r>
        <w:t xml:space="preserve">Deine drei Meilensteine</w:t>
      </w:r>
    </w:p>
    <w:p>
      <w:pPr>
        <w:pStyle w:val="FirstParagraph"/>
      </w:pPr>
      <w:r>
        <w:t xml:space="preserve">Miss deinen Fortschritt nicht am Kalender, sondern an drei Meilensteinen. Wie viel Zeit zwischen ihnen liegt, bestimmen dein Belegvolumen und deine verfügbaren Stunden.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Meilenstein</w:t>
            </w:r>
          </w:p>
        </w:tc>
        <w:tc>
          <w:tcPr/>
          <w:p>
            <w:pPr>
              <w:pStyle w:val="Compact"/>
              <w:spacing w:after="40"/>
            </w:pPr>
            <w:r>
              <w:rPr>
                <w:sz w:val="19"/>
              </w:rPr>
              <w:t xml:space="preserve">erreicht am</w:t>
            </w:r>
          </w:p>
        </w:tc>
      </w:tr>
      <w:tr>
        <w:tc>
          <w:tcPr/>
          <w:p>
            <w:pPr>
              <w:pStyle w:val="Compact"/>
              <w:spacing w:after="40"/>
            </w:pPr>
            <w:r>
              <w:rPr>
                <w:sz w:val="19"/>
              </w:rPr>
              <w:t xml:space="preserve">1. Die digitale Belegablage läuft</w:t>
            </w:r>
          </w:p>
        </w:tc>
        <w:tc>
          <w:tcPr/>
          <w:p>
            <w:pPr>
              <w:pStyle w:val="Compact"/>
              <w:spacing w:after="40"/>
            </w:pPr>
            <w:r>
              <w:rPr>
                <w:sz w:val="19"/>
              </w:rPr>
              <w:t xml:space="preserve">________________</w:t>
            </w:r>
          </w:p>
        </w:tc>
      </w:tr>
      <w:tr>
        <w:tc>
          <w:tcPr/>
          <w:p>
            <w:pPr>
              <w:pStyle w:val="Compact"/>
              <w:spacing w:after="40"/>
            </w:pPr>
            <w:r>
              <w:rPr>
                <w:sz w:val="19"/>
              </w:rPr>
              <w:t xml:space="preserve">2. Die erste Voranmeldung aus deinem eigenen System</w:t>
            </w:r>
          </w:p>
        </w:tc>
        <w:tc>
          <w:tcPr/>
          <w:p>
            <w:pPr>
              <w:pStyle w:val="Compact"/>
              <w:spacing w:after="40"/>
            </w:pPr>
            <w:r>
              <w:rPr>
                <w:sz w:val="19"/>
              </w:rPr>
              <w:t xml:space="preserve">________________</w:t>
            </w:r>
          </w:p>
        </w:tc>
      </w:tr>
      <w:tr>
        <w:tc>
          <w:tcPr/>
          <w:p>
            <w:pPr>
              <w:pStyle w:val="Compact"/>
              <w:spacing w:after="40"/>
            </w:pPr>
            <w:r>
              <w:rPr>
                <w:sz w:val="19"/>
              </w:rPr>
              <w:t xml:space="preserve">3. Zwei Monatsabschlüsse parallel sauber gelaufen - erst dann das Gespräch über das reduzierte Mandat</w:t>
            </w:r>
          </w:p>
        </w:tc>
        <w:tc>
          <w:tcPr/>
          <w:p>
            <w:pPr>
              <w:pStyle w:val="Compact"/>
              <w:spacing w:after="40"/>
            </w:pPr>
            <w:r>
              <w:rPr>
                <w:sz w:val="19"/>
              </w:rPr>
              <w:t xml:space="preserve">________________</w:t>
            </w:r>
          </w:p>
        </w:tc>
      </w:tr>
    </w:tbl>
    <w:bookmarkEnd w:id="11"/>
    <w:bookmarkStart w:id="12" w:name="vor-dem-gespräch-mit-der-kanzlei"/>
    <w:p>
      <w:pPr>
        <w:pStyle w:val="Heading2"/>
      </w:pPr>
      <w:r>
        <w:t xml:space="preserve">Vor dem Gespräch mit der Kanzlei</w:t>
      </w:r>
    </w:p>
    <w:p>
      <w:pPr>
        <w:pStyle w:val="FirstParagraph"/>
      </w:pPr>
      <w:r>
        <w:t xml:space="preserve">Die eiserne Reihenfolge aus dem Buch: erst Parallelbetrieb und vollständiger Datenexport, dann das Mandatsgespräch. Nie umgekehrt.</w:t>
      </w:r>
    </w:p>
    <w:p>
      <w:pPr>
        <w:pStyle w:val="Compact"/>
        <w:numPr>
          <w:ilvl w:val="0"/>
          <w:numId w:val="1001"/>
        </w:numPr>
      </w:pPr>
      <w:r>
        <w:t xml:space="preserve">⁠☐ Mein System läuft nachweislich, ein bis zwei Monate parallel.</w:t>
      </w:r>
    </w:p>
    <w:p>
      <w:pPr>
        <w:pStyle w:val="Compact"/>
        <w:numPr>
          <w:ilvl w:val="0"/>
          <w:numId w:val="1001"/>
        </w:numPr>
      </w:pPr>
      <w:r>
        <w:t xml:space="preserve">⁠☐ Vollständiger Export meiner Buchhaltungsdaten und digitalen Belege gesichert, am: ________________</w:t>
      </w:r>
    </w:p>
    <w:p>
      <w:pPr>
        <w:pStyle w:val="Compact"/>
        <w:numPr>
          <w:ilvl w:val="0"/>
          <w:numId w:val="1001"/>
        </w:numPr>
      </w:pPr>
      <w:r>
        <w:t xml:space="preserve">⁠☐ Erst danach: Gespräch über das reduzierte Mandat, am: ________________</w:t>
      </w:r>
    </w:p>
    <w:bookmarkEnd w:id="12"/>
    <w:bookmarkStart w:id="13" w:name="jährliche-fortschreibung"/>
    <w:p>
      <w:pPr>
        <w:pStyle w:val="Heading2"/>
      </w:pPr>
      <w:r>
        <w:t xml:space="preserve">Jährliche Fortschreibung</w:t>
      </w:r>
    </w:p>
    <w:p>
      <w:pPr>
        <w:pStyle w:val="FirstParagraph"/>
      </w:pPr>
      <w:r>
        <w:t xml:space="preserve">Einmal im Jahr, wenn der Abschluss vorliegt, gehst du die Matrix neu durch. Die Matrix ist kein Beschluss. Sie ist ein Fahrplan mit jährlicher Fortschreibung.</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Durchgang</w:t>
            </w:r>
          </w:p>
        </w:tc>
        <w:tc>
          <w:tcPr/>
          <w:p>
            <w:pPr>
              <w:pStyle w:val="Compact"/>
              <w:spacing w:after="40"/>
            </w:pPr>
            <w:r>
              <w:rPr>
                <w:sz w:val="19"/>
              </w:rPr>
              <w:t xml:space="preserve">Datum</w:t>
            </w:r>
          </w:p>
        </w:tc>
        <w:tc>
          <w:tcPr/>
          <w:p>
            <w:pPr>
              <w:pStyle w:val="Compact"/>
              <w:spacing w:after="40"/>
            </w:pPr>
            <w:r>
              <w:rPr>
                <w:sz w:val="19"/>
              </w:rPr>
              <w:t xml:space="preserve">was sich geändert hat</w:t>
            </w:r>
          </w:p>
        </w:tc>
      </w:tr>
      <w:tr>
        <w:trPr>
          <w:trHeight w:val="454" w:hRule="atLeast"/>
        </w:trPr>
        <w:tc>
          <w:tcPr/>
          <w:p>
            <w:pPr>
              <w:pStyle w:val="Compact"/>
              <w:spacing w:after="40"/>
            </w:pPr>
            <w:r>
              <w:rPr>
                <w:sz w:val="19"/>
              </w:rPr>
              <w:t xml:space="preserve">1</w:t>
            </w: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2</w:t>
            </w: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3</w:t>
            </w:r>
          </w:p>
        </w:tc>
        <w:tc>
          <w:tcPr/>
          <w:p>
            <w:pPr>
              <w:pStyle w:val="Compact"/>
              <w:spacing w:after="40"/>
            </w:pPr>
          </w:p>
        </w:tc>
        <w:tc>
          <w:tcPr/>
          <w:p>
            <w:pPr>
              <w:pStyle w:val="Compact"/>
              <w:spacing w:after="40"/>
            </w:pPr>
          </w:p>
        </w:tc>
      </w:tr>
    </w:tbl>
    <w:p>
      <w:r>
        <w:pict>
          <v:rect style="width:0;height:1.5pt" o:hralign="center" o:hrstd="t" o:hr="t"/>
        </w:pict>
      </w:r>
    </w:p>
    <w:p>
      <w:pPr>
        <w:pStyle w:val="FirstParagraph"/>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gibt allgemeine Informationen wieder und ersetzt keine Rechts- oder Steuerberatung im Einzelfall. Welche Aufgabe du wem gibst, entscheidest du. Stand: 14.10.2026.</w:t>
      </w:r>
    </w:p>
    <w:bookmarkEnd w:id="13"/>
    <w:bookmarkEnd w:id="14"/>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Deine Entscheidungsmatrix - Buchhaltung zurück im eigenen Haus. Mit KI.</dc:title>
  <dc:creator>Conrad M. Feld</dc:creator>
  <cp:keywords/>
  <dcterms:created xsi:type="dcterms:W3CDTF">2026-10-14T10:03:14Z</dcterms:created>
  <dcterms:modified xsi:type="dcterms:W3CDTF">2026-10-14T10:03:14Z</dcterms:modified>
</cp:coreProperties>
</file>

<file path=docProps/custom.xml><?xml version="1.0" encoding="utf-8"?>
<Properties xmlns="http://schemas.openxmlformats.org/officeDocument/2006/custom-properties" xmlns:vt="http://schemas.openxmlformats.org/officeDocument/2006/docPropsVTypes"/>
</file>